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20"/>
        <w:jc w:val="both"/>
        <w:rPr>
          <w:rFonts w:ascii="Arial" w:hAnsi="Arial" w:cs="Arial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чл. 33 тачка 1 а у вези са чл. 45 тачка 9 Закона о локалној самоуправи (''Сл. лист РЦГ'', бр. </w:t>
      </w:r>
      <w:r>
        <w:rPr>
          <w:rFonts w:ascii="Arial" w:hAnsi="Arial" w:cs="Arial"/>
          <w:lang w:val="sr-Latn-CS"/>
        </w:rPr>
        <w:t xml:space="preserve">42/03, 28/04, 75/05 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Latn-CS"/>
        </w:rPr>
        <w:t xml:space="preserve"> 13/06</w:t>
      </w:r>
      <w:r>
        <w:rPr>
          <w:rFonts w:ascii="Arial" w:hAnsi="Arial" w:cs="Arial"/>
          <w:lang w:val="sr-Cyrl-CS"/>
        </w:rPr>
        <w:t xml:space="preserve"> и ''Сл. лист ЦГ'', бр. </w:t>
      </w:r>
      <w:r>
        <w:rPr>
          <w:rFonts w:ascii="Arial" w:hAnsi="Arial" w:cs="Arial"/>
          <w:lang w:val="sr-Latn-CS"/>
        </w:rPr>
        <w:t xml:space="preserve">88/09, 3/10, 73/10, 38/12 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Latn-CS"/>
        </w:rPr>
        <w:t xml:space="preserve"> 10/14),</w:t>
      </w:r>
      <w:r>
        <w:rPr>
          <w:rFonts w:ascii="Arial" w:hAnsi="Arial" w:cs="Arial"/>
          <w:lang w:val="sr-Cyrl-CS"/>
        </w:rPr>
        <w:t xml:space="preserve"> чл. 15 алинеја 2 Закона о државној имовини („Сл.лист ЦГ“, бр. 21/09 и 40/11), чл. 24 Закона о рударству (''Сл. лист Цг'', бр. 65/08, 74/10 и 40/11)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и чл. 38 тачка 9 Статута општине Жабљак (''Сл. лист РЦГ - општински прописи'', бр.</w:t>
      </w:r>
      <w:r>
        <w:rPr>
          <w:rFonts w:ascii="Arial" w:hAnsi="Arial" w:cs="Arial"/>
          <w:lang w:val="sr-Latn-CS"/>
        </w:rPr>
        <w:t xml:space="preserve"> 9/05 </w:t>
      </w:r>
      <w:r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Latn-CS"/>
        </w:rPr>
        <w:t>23/07</w:t>
      </w:r>
      <w:r>
        <w:rPr>
          <w:rFonts w:ascii="Arial" w:hAnsi="Arial" w:cs="Arial"/>
          <w:lang w:val="sr-Cyrl-CS"/>
        </w:rPr>
        <w:t xml:space="preserve"> и ''Сл. лист ЦГ - Општински прописи'', бр.</w:t>
      </w:r>
      <w:r>
        <w:rPr>
          <w:rFonts w:ascii="Arial" w:hAnsi="Arial" w:cs="Arial"/>
          <w:lang w:val="sr-Latn-CS"/>
        </w:rPr>
        <w:t xml:space="preserve"> 3/11 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Latn-CS"/>
        </w:rPr>
        <w:t xml:space="preserve"> 7/14</w:t>
      </w:r>
      <w:r>
        <w:rPr>
          <w:rFonts w:ascii="Arial" w:hAnsi="Arial" w:cs="Arial"/>
          <w:lang w:val="sr-Cyrl-CS"/>
        </w:rPr>
        <w:t xml:space="preserve">), </w:t>
      </w:r>
      <w:r>
        <w:rPr>
          <w:rFonts w:ascii="Arial" w:hAnsi="Arial" w:cs="Arial"/>
          <w:b/>
          <w:lang w:val="sr-Cyrl-CS"/>
        </w:rPr>
        <w:t>Скупштина општине Жабљак</w:t>
      </w:r>
      <w:r>
        <w:rPr>
          <w:rFonts w:ascii="Arial" w:hAnsi="Arial" w:cs="Arial"/>
          <w:lang w:val="sr-Cyrl-CS"/>
        </w:rPr>
        <w:t xml:space="preserve">, на сједници одржаној </w:t>
      </w:r>
      <w:r>
        <w:rPr>
          <w:rFonts w:ascii="Arial" w:hAnsi="Arial" w:cs="Arial"/>
          <w:lang w:val="sr-Latn-CS"/>
        </w:rPr>
        <w:t>26.10.</w:t>
      </w:r>
      <w:r>
        <w:rPr>
          <w:rFonts w:ascii="Arial" w:hAnsi="Arial" w:cs="Arial"/>
          <w:lang w:val="sr-Cyrl-CS"/>
        </w:rPr>
        <w:t xml:space="preserve">2017. године, </w:t>
      </w:r>
      <w:r>
        <w:rPr>
          <w:rFonts w:ascii="Arial" w:hAnsi="Arial" w:cs="Arial"/>
          <w:b/>
          <w:lang w:val="sr-Cyrl-CS"/>
        </w:rPr>
        <w:t>донијела је</w:t>
      </w:r>
      <w:r>
        <w:rPr>
          <w:rFonts w:ascii="Arial" w:hAnsi="Arial" w:cs="Arial"/>
          <w:lang w:val="sr-Cyrl-CS"/>
        </w:rPr>
        <w:t xml:space="preserve"> </w:t>
      </w:r>
    </w:p>
    <w:p>
      <w:pPr>
        <w:pStyle w:val="4"/>
        <w:ind w:left="720" w:firstLine="720"/>
        <w:jc w:val="both"/>
        <w:rPr>
          <w:rFonts w:ascii="Arial" w:hAnsi="Arial" w:cs="Arial"/>
          <w:lang w:val="sr-Cyrl-CS"/>
        </w:rPr>
      </w:pPr>
    </w:p>
    <w:p>
      <w:pPr>
        <w:pStyle w:val="4"/>
        <w:ind w:firstLine="1440"/>
        <w:jc w:val="both"/>
        <w:rPr>
          <w:rFonts w:ascii="Arial" w:hAnsi="Arial" w:cs="Arial"/>
          <w:lang w:val="sr-Cyrl-CS"/>
        </w:rPr>
      </w:pPr>
    </w:p>
    <w:p>
      <w:pPr>
        <w:pStyle w:val="4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Д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Л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У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У</w:t>
      </w:r>
    </w:p>
    <w:p>
      <w:pPr>
        <w:pStyle w:val="4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 измјени Одлуке о одобравању експлоатације минералних сировина </w:t>
      </w:r>
    </w:p>
    <w:p>
      <w:pPr>
        <w:pStyle w:val="4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Д.О.О ''</w:t>
      </w:r>
      <w:r>
        <w:rPr>
          <w:rFonts w:ascii="Arial" w:hAnsi="Arial" w:cs="Arial"/>
          <w:b/>
          <w:lang w:val="sr-Latn-CS"/>
        </w:rPr>
        <w:t>ZEKOVIĆ COMPANY</w:t>
      </w:r>
      <w:r>
        <w:rPr>
          <w:rFonts w:ascii="Arial" w:hAnsi="Arial" w:cs="Arial"/>
          <w:b/>
          <w:lang w:val="sr-Cyrl-CS"/>
        </w:rPr>
        <w:t>'' из Жабљака</w:t>
      </w:r>
    </w:p>
    <w:p>
      <w:pPr>
        <w:pStyle w:val="4"/>
        <w:jc w:val="center"/>
        <w:rPr>
          <w:rFonts w:ascii="Arial" w:hAnsi="Arial" w:cs="Arial"/>
          <w:b/>
          <w:lang w:val="sr-Latn-CS"/>
        </w:rPr>
      </w:pPr>
    </w:p>
    <w:p>
      <w:pPr>
        <w:pStyle w:val="4"/>
        <w:jc w:val="both"/>
        <w:rPr>
          <w:rFonts w:ascii="Arial" w:hAnsi="Arial" w:cs="Arial"/>
          <w:b/>
          <w:lang w:val="sr-Latn-CS"/>
        </w:rPr>
      </w:pPr>
    </w:p>
    <w:p>
      <w:pPr>
        <w:pStyle w:val="4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Члан 1</w:t>
      </w: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Одлуци о одобравању експлоатације минералних сировина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Д.О.О. ''</w:t>
      </w:r>
      <w:r>
        <w:rPr>
          <w:rFonts w:ascii="Arial" w:hAnsi="Arial" w:cs="Arial"/>
          <w:lang w:val="sr-Latn-CS"/>
        </w:rPr>
        <w:t>ZEKOVIĆ COMPANY</w:t>
      </w:r>
      <w:r>
        <w:rPr>
          <w:rFonts w:ascii="Arial" w:hAnsi="Arial" w:cs="Arial"/>
          <w:lang w:val="sr-Cyrl-CS"/>
        </w:rPr>
        <w:t xml:space="preserve">'' из Жабљака (''Сл. лист ЦГ - Општински прописи'', бр. </w:t>
      </w:r>
      <w:r>
        <w:rPr>
          <w:rFonts w:ascii="Arial" w:hAnsi="Arial" w:cs="Arial"/>
          <w:lang w:val="sr-Latn-CS"/>
        </w:rPr>
        <w:t>3</w:t>
      </w:r>
      <w:r>
        <w:rPr>
          <w:rFonts w:ascii="Arial" w:hAnsi="Arial" w:cs="Arial"/>
          <w:lang w:val="sr-Cyrl-CS"/>
        </w:rPr>
        <w:t>0/17) у члану 1 ријечи ''30.09.2017. године'' замјењују се ријечима ''31.12.2017. године''.</w:t>
      </w:r>
    </w:p>
    <w:p>
      <w:pPr>
        <w:pStyle w:val="4"/>
        <w:ind w:firstLine="720"/>
        <w:jc w:val="both"/>
        <w:rPr>
          <w:rFonts w:ascii="Arial" w:hAnsi="Arial" w:cs="Arial"/>
          <w:lang w:val="sr-Cyrl-CS"/>
        </w:rPr>
      </w:pPr>
    </w:p>
    <w:p>
      <w:pPr>
        <w:pStyle w:val="4"/>
        <w:jc w:val="center"/>
        <w:rPr>
          <w:rFonts w:ascii="Arial" w:hAnsi="Arial" w:cs="Arial"/>
          <w:b/>
          <w:lang w:val="sr-Cyrl-CS"/>
        </w:rPr>
      </w:pPr>
    </w:p>
    <w:p>
      <w:pPr>
        <w:pStyle w:val="4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>Члан 2</w:t>
      </w: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ва</w:t>
      </w:r>
      <w:r>
        <w:rPr>
          <w:rFonts w:ascii="Arial" w:hAnsi="Arial" w:cs="Arial"/>
          <w:lang w:val="sr-Latn-CS"/>
        </w:rPr>
        <w:t xml:space="preserve"> o</w:t>
      </w:r>
      <w:r>
        <w:rPr>
          <w:rFonts w:ascii="Arial" w:hAnsi="Arial" w:cs="Arial"/>
          <w:lang w:val="sr-Cyrl-CS"/>
        </w:rPr>
        <w:t>длука ступа на снагу даном доношења и објавиће се у ''Службеном листу Црне Горе - Општински прописи''</w:t>
      </w:r>
      <w:r>
        <w:rPr>
          <w:rFonts w:ascii="Arial" w:hAnsi="Arial" w:cs="Arial"/>
          <w:lang w:val="sr-Latn-CS"/>
        </w:rPr>
        <w:t>.</w:t>
      </w:r>
    </w:p>
    <w:p>
      <w:pPr>
        <w:pStyle w:val="4"/>
        <w:ind w:firstLine="720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Број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312</w:t>
      </w:r>
      <w:r>
        <w:rPr>
          <w:rFonts w:ascii="Arial" w:hAnsi="Arial" w:cs="Arial"/>
          <w:lang w:val="sr-Latn-CS"/>
        </w:rPr>
        <w:t>/17 -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01-365</w:t>
      </w:r>
      <w:bookmarkStart w:id="0" w:name="_GoBack"/>
      <w:bookmarkEnd w:id="0"/>
    </w:p>
    <w:p>
      <w:pPr>
        <w:pStyle w:val="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Жабљак</w:t>
      </w:r>
      <w:r>
        <w:rPr>
          <w:rFonts w:ascii="Arial" w:hAnsi="Arial" w:cs="Arial"/>
          <w:lang w:val="sr-Latn-CS"/>
        </w:rPr>
        <w:t>, 27.10.2017.</w:t>
      </w:r>
      <w:r>
        <w:rPr>
          <w:rFonts w:ascii="Arial" w:hAnsi="Arial" w:cs="Arial"/>
          <w:lang w:val="sr-Cyrl-CS"/>
        </w:rPr>
        <w:t xml:space="preserve"> године</w:t>
      </w: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СКУПШТИНА ОПШТИНЕ ЖАБЉАК</w:t>
      </w:r>
    </w:p>
    <w:p>
      <w:pPr>
        <w:pStyle w:val="4"/>
        <w:jc w:val="center"/>
        <w:rPr>
          <w:rFonts w:ascii="Arial" w:hAnsi="Arial" w:cs="Arial"/>
          <w:b/>
          <w:lang w:val="sr-Cyrl-CS"/>
        </w:rPr>
      </w:pPr>
    </w:p>
    <w:p>
      <w:pPr>
        <w:pStyle w:val="4"/>
        <w:jc w:val="center"/>
        <w:rPr>
          <w:rFonts w:ascii="Arial" w:hAnsi="Arial" w:cs="Arial"/>
          <w:b/>
          <w:lang w:val="sr-Cyrl-CS"/>
        </w:rPr>
      </w:pPr>
    </w:p>
    <w:p>
      <w:pPr>
        <w:pStyle w:val="4"/>
        <w:jc w:val="center"/>
        <w:rPr>
          <w:rFonts w:ascii="Arial" w:hAnsi="Arial" w:cs="Arial"/>
          <w:b/>
          <w:lang w:val="sr-Cyrl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righ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>ПРЕДСЈЕДНИК СКУПШТИНЕ</w:t>
      </w:r>
      <w:r>
        <w:rPr>
          <w:rFonts w:ascii="Arial" w:hAnsi="Arial" w:cs="Arial"/>
          <w:b/>
          <w:lang w:val="sr-Latn-CS"/>
        </w:rPr>
        <w:t>,</w:t>
      </w:r>
    </w:p>
    <w:p>
      <w:pPr>
        <w:pStyle w:val="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>Видоје Томчић</w:t>
      </w: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lang w:val="sr-Cyrl-CS"/>
        </w:rPr>
      </w:pPr>
    </w:p>
    <w:p>
      <w:pPr>
        <w:pStyle w:val="4"/>
        <w:jc w:val="both"/>
        <w:rPr>
          <w:rFonts w:ascii="Arial" w:hAnsi="Arial" w:cs="Arial"/>
          <w:b/>
          <w:lang w:val="sr-Cyrl-CS"/>
        </w:rPr>
      </w:pPr>
    </w:p>
    <w:p>
      <w:pPr>
        <w:pStyle w:val="4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>
      <w:pPr>
        <w:pStyle w:val="4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</w:t>
      </w:r>
      <w:r>
        <w:rPr>
          <w:rFonts w:ascii="Arial" w:hAnsi="Arial" w:cs="Arial"/>
          <w:b/>
          <w:sz w:val="20"/>
          <w:szCs w:val="20"/>
          <w:lang w:val="sr-Cyrl-CS"/>
        </w:rPr>
        <w:t>БРАЗЛОЖЕЊЕ</w:t>
      </w:r>
    </w:p>
    <w:p>
      <w:pPr>
        <w:pStyle w:val="4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>
      <w:pPr>
        <w:pStyle w:val="4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ПРАВНИ ОСНОВ</w:t>
      </w:r>
    </w:p>
    <w:p>
      <w:pPr>
        <w:pStyle w:val="4"/>
        <w:jc w:val="both"/>
        <w:rPr>
          <w:rFonts w:ascii="Arial" w:hAnsi="Arial" w:cs="Arial"/>
          <w:sz w:val="20"/>
          <w:szCs w:val="20"/>
          <w:lang w:val="sr-Latn-CS"/>
        </w:rPr>
      </w:pP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>Правни основ за доношење Одлуке о одобравању експлоатације пијеска и камена у Ражаном пољу Д.О.О ''</w:t>
      </w:r>
      <w:r>
        <w:rPr>
          <w:rFonts w:ascii="Arial" w:hAnsi="Arial" w:cs="Arial"/>
          <w:sz w:val="20"/>
          <w:szCs w:val="20"/>
          <w:lang w:val="sr-Latn-CS"/>
        </w:rPr>
        <w:t>ZEKOVIĆ COMPANY</w:t>
      </w:r>
      <w:r>
        <w:rPr>
          <w:rFonts w:ascii="Arial" w:hAnsi="Arial" w:cs="Arial"/>
          <w:sz w:val="20"/>
          <w:szCs w:val="20"/>
          <w:lang w:val="sr-Cyrl-CS"/>
        </w:rPr>
        <w:t xml:space="preserve">'' из Жабљака садржан је у одредбама члана 33 тачка 1 и чл. 45 тачка 9 Закона о локалној самоуправи (''Сл. лист РЦГ'', бр. </w:t>
      </w:r>
      <w:r>
        <w:rPr>
          <w:rFonts w:ascii="Arial" w:hAnsi="Arial" w:cs="Arial"/>
          <w:sz w:val="20"/>
          <w:szCs w:val="20"/>
          <w:lang w:val="sr-Latn-CS"/>
        </w:rPr>
        <w:t xml:space="preserve">42/03, 28/04, 75/05 </w:t>
      </w:r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sz w:val="20"/>
          <w:szCs w:val="20"/>
          <w:lang w:val="sr-Latn-CS"/>
        </w:rPr>
        <w:t xml:space="preserve"> 13/06</w:t>
      </w:r>
      <w:r>
        <w:rPr>
          <w:rFonts w:ascii="Arial" w:hAnsi="Arial" w:cs="Arial"/>
          <w:sz w:val="20"/>
          <w:szCs w:val="20"/>
          <w:lang w:val="sr-Cyrl-CS"/>
        </w:rPr>
        <w:t xml:space="preserve"> и ''Сл. лист ЦГ'', бр. </w:t>
      </w:r>
      <w:r>
        <w:rPr>
          <w:rFonts w:ascii="Arial" w:hAnsi="Arial" w:cs="Arial"/>
          <w:sz w:val="20"/>
          <w:szCs w:val="20"/>
          <w:lang w:val="sr-Latn-CS"/>
        </w:rPr>
        <w:t xml:space="preserve">88/09, 3/10, 73/10, 38/12 </w:t>
      </w:r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sz w:val="20"/>
          <w:szCs w:val="20"/>
          <w:lang w:val="sr-Latn-CS"/>
        </w:rPr>
        <w:t xml:space="preserve"> 10/14), </w:t>
      </w:r>
      <w:r>
        <w:rPr>
          <w:rFonts w:ascii="Arial" w:hAnsi="Arial" w:cs="Arial"/>
          <w:sz w:val="20"/>
          <w:szCs w:val="20"/>
          <w:lang w:val="sr-Cyrl-CS"/>
        </w:rPr>
        <w:t>чл. 15 алинеја 2 Закона о државној имовини („Сл.лист ЦГ“, бр. 21/09 и 40/11), чл. 24 Закона о рударству (''Сл. лист Цг'', бр. 65/08, 74/10 и 40/11), а надлежност Скупштине општине за доношење одлуке садржана је у одредбама члана 45 Закона о локалној самоуправи и члана 38 тачка 9 Статута општине Жабљак (''Сл. лист РЦГ - општински прописи'', бр.</w:t>
      </w:r>
      <w:r>
        <w:rPr>
          <w:rFonts w:ascii="Arial" w:hAnsi="Arial" w:cs="Arial"/>
          <w:sz w:val="20"/>
          <w:szCs w:val="20"/>
          <w:lang w:val="sr-Latn-CS"/>
        </w:rPr>
        <w:t xml:space="preserve"> 9/05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23/07</w:t>
      </w:r>
      <w:r>
        <w:rPr>
          <w:rFonts w:ascii="Arial" w:hAnsi="Arial" w:cs="Arial"/>
          <w:sz w:val="20"/>
          <w:szCs w:val="20"/>
          <w:lang w:val="sr-Cyrl-CS"/>
        </w:rPr>
        <w:t xml:space="preserve"> и ''Сл. лист ЦГ - Општински прописи'', бр.</w:t>
      </w:r>
      <w:r>
        <w:rPr>
          <w:rFonts w:ascii="Arial" w:hAnsi="Arial" w:cs="Arial"/>
          <w:sz w:val="20"/>
          <w:szCs w:val="20"/>
          <w:lang w:val="sr-Latn-CS"/>
        </w:rPr>
        <w:t xml:space="preserve"> 3/11 </w:t>
      </w:r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sz w:val="20"/>
          <w:szCs w:val="20"/>
          <w:lang w:val="sr-Latn-CS"/>
        </w:rPr>
        <w:t xml:space="preserve"> 7/14</w:t>
      </w:r>
      <w:r>
        <w:rPr>
          <w:rFonts w:ascii="Arial" w:hAnsi="Arial" w:cs="Arial"/>
          <w:sz w:val="20"/>
          <w:szCs w:val="20"/>
          <w:lang w:val="sr-Cyrl-CS"/>
        </w:rPr>
        <w:t xml:space="preserve">). </w:t>
      </w: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Наиме, одредбама члана 33 тачка 1 Закона о локалној самоуправи прописано је да у оквиру сопствених надлежности општина управља, располаже и штити своју имовину и врши поједина својинска овлашћења на државној имовини, у складу са законом, а одредбама члана 45 тачка 9 истог закона прописано је да скупштина располаже имовином.</w:t>
      </w: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Одредбама члана 15 алинеја 2 Закона о државној имовини прописано је да су природна богатства којима располаже општина, између осталих, и минералне сировине (шљунак, пијесак и камен) ако није у питању експлоатација у складу са законом.</w:t>
      </w: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>
      <w:pPr>
        <w:pStyle w:val="4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>O</w:t>
      </w:r>
      <w:r>
        <w:rPr>
          <w:rFonts w:ascii="Arial" w:hAnsi="Arial" w:cs="Arial"/>
          <w:sz w:val="20"/>
          <w:szCs w:val="20"/>
          <w:lang w:val="sr-Cyrl-CS"/>
        </w:rPr>
        <w:t>дредбама члана 24 Закона о рударству прописано је да се експлоатација минералних сировина (шљунак, пијесак и камен) које се користе за изградњу и одржавање локалних инфраструктурних објеката може обављати без уговора о концесији на основу одобрења и под надзором надлежног органа локалне управе; да се експлоатација из става 1 овог члана може одобрити на површини земље без поступка минирања, осим за локације из. чл. 7 и 63 овог закона; да се за експлоатацију минералних сировина из става 1 овог члана плаћа накнада и да висину накнаде из става 3 овог члана утврђује надлежни орган локалне управе.</w:t>
      </w:r>
    </w:p>
    <w:p>
      <w:pPr>
        <w:pStyle w:val="4"/>
        <w:jc w:val="both"/>
        <w:rPr>
          <w:rFonts w:ascii="Arial" w:hAnsi="Arial" w:cs="Arial"/>
          <w:sz w:val="20"/>
          <w:szCs w:val="20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Одредбама члана 38 тачка 9 Статута општине Жабљак прописано је да скупштина управља и располаже општинском имовином.</w:t>
      </w:r>
    </w:p>
    <w:p>
      <w:pPr>
        <w:pStyle w:val="4"/>
        <w:jc w:val="both"/>
        <w:rPr>
          <w:rFonts w:ascii="Arial" w:hAnsi="Arial" w:cs="Arial"/>
          <w:sz w:val="20"/>
          <w:szCs w:val="20"/>
          <w:lang w:val="sr-Latn-CS"/>
        </w:rPr>
      </w:pP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РАЗЛОЗИ ЗА ДОНОШЕЊЕ ОДЛУКЕ</w:t>
      </w:r>
    </w:p>
    <w:p>
      <w:pPr>
        <w:pStyle w:val="4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Д.О.О. </w:t>
      </w:r>
      <w:r>
        <w:rPr>
          <w:rFonts w:ascii="Arial" w:hAnsi="Arial" w:cs="Arial"/>
          <w:sz w:val="20"/>
          <w:szCs w:val="20"/>
          <w:lang w:val="sr-Latn-CS"/>
        </w:rPr>
        <w:t xml:space="preserve">„ZEKOVIĆ COMPANY“ </w:t>
      </w:r>
      <w:r>
        <w:rPr>
          <w:rFonts w:ascii="Arial" w:hAnsi="Arial" w:cs="Arial"/>
          <w:sz w:val="20"/>
          <w:szCs w:val="20"/>
          <w:lang w:val="sr-Cyrl-CS"/>
        </w:rPr>
        <w:t xml:space="preserve">из Жабљака поднијело је захтјев Општини Жабљак број 032/17-01-2258 од 03.10.2017. године за продужење периода на који му је Одлуком о одобравању експлоатације пијеска и камена у Ражаном пољу  одобрена експлоатација шљунка, пијеска и камена у мјесту Ражано поље из разлога што је истекао рок на који му је била дата концесија те да је у току поступак расписивања новог тендера за додјелу концесије и како би били завршени започети и преузети послови, а посебно на оправци и насипању локалних путева, а који нијесу завршени због љетње туристичке сезоне. </w:t>
      </w: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Имајући у виду наведени захтјев као и потеребе </w:t>
      </w:r>
      <w:r>
        <w:rPr>
          <w:rFonts w:ascii="Arial" w:hAnsi="Arial" w:cs="Arial"/>
          <w:sz w:val="20"/>
          <w:szCs w:val="20"/>
          <w:lang w:val="sr-Latn-CS"/>
        </w:rPr>
        <w:t>O</w:t>
      </w:r>
      <w:r>
        <w:rPr>
          <w:rFonts w:ascii="Arial" w:hAnsi="Arial" w:cs="Arial"/>
          <w:sz w:val="20"/>
          <w:szCs w:val="20"/>
          <w:lang w:val="sr-Cyrl-CS"/>
        </w:rPr>
        <w:t>пштине Жабљак на одржавању локалне инфраструктуре, односно локалних и некатегорисаних путева предложеном одлуком се продужава вријеме експлоатације и то до краја текуће календарске године.</w:t>
      </w: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>
      <w:pPr>
        <w:pStyle w:val="4"/>
        <w:jc w:val="both"/>
        <w:rPr>
          <w:rFonts w:ascii="Arial" w:hAnsi="Arial" w:cs="Arial"/>
          <w:sz w:val="20"/>
          <w:szCs w:val="20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</w:t>
      </w:r>
      <w:r>
        <w:rPr>
          <w:rFonts w:ascii="Arial" w:hAnsi="Arial" w:cs="Arial"/>
          <w:b/>
          <w:sz w:val="20"/>
          <w:szCs w:val="20"/>
          <w:lang w:val="sr-Latn-CS"/>
        </w:rPr>
        <w:t>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ФИНАНСИЈСКА СРЕДСТВА</w:t>
      </w:r>
    </w:p>
    <w:p>
      <w:pPr>
        <w:pStyle w:val="4"/>
        <w:jc w:val="both"/>
        <w:rPr>
          <w:rFonts w:ascii="Arial" w:hAnsi="Arial" w:cs="Arial"/>
          <w:sz w:val="20"/>
          <w:szCs w:val="20"/>
          <w:lang w:val="sr-Cyrl-CS"/>
        </w:rPr>
      </w:pP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За спровођење ове одлуке није потребно обезбиједити финансијска средства у Буџету општине Жабљак, а њеним доношењем оствариће се приход у Буџету општине Жабљак по основу накнаде коју је Д.О.О. „</w:t>
      </w:r>
      <w:r>
        <w:rPr>
          <w:rFonts w:ascii="Arial" w:hAnsi="Arial" w:cs="Arial"/>
          <w:sz w:val="20"/>
          <w:szCs w:val="20"/>
          <w:lang w:val="sr-Latn-CS"/>
        </w:rPr>
        <w:t xml:space="preserve">ZEKOVIĆ COMPANY“ </w:t>
      </w:r>
      <w:r>
        <w:rPr>
          <w:rFonts w:ascii="Arial" w:hAnsi="Arial" w:cs="Arial"/>
          <w:sz w:val="20"/>
          <w:szCs w:val="20"/>
          <w:lang w:val="sr-Cyrl-CS"/>
        </w:rPr>
        <w:t xml:space="preserve">дужно да плаћа за експлоатацију минералних сировина. </w:t>
      </w:r>
    </w:p>
    <w:p>
      <w:pPr>
        <w:pStyle w:val="4"/>
        <w:rPr>
          <w:rFonts w:ascii="Arial" w:hAnsi="Arial" w:cs="Arial"/>
          <w:sz w:val="20"/>
          <w:szCs w:val="20"/>
          <w:lang w:val="sr-Latn-CS"/>
        </w:rPr>
      </w:pPr>
    </w:p>
    <w:p>
      <w:pPr>
        <w:pStyle w:val="4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Са изложеног предлаже се Скупштини општине Жабљак да донесе Одлуку о измјени Одлуке о одобравању експлоатације минералних сировина у Ражаном пољу Д.О.О ''</w:t>
      </w:r>
      <w:r>
        <w:rPr>
          <w:rFonts w:ascii="Arial" w:hAnsi="Arial" w:cs="Arial"/>
          <w:sz w:val="20"/>
          <w:szCs w:val="20"/>
          <w:lang w:val="sr-Latn-CS"/>
        </w:rPr>
        <w:t>ZEKOVIĆ COMPANY</w:t>
      </w:r>
      <w:r>
        <w:rPr>
          <w:rFonts w:ascii="Arial" w:hAnsi="Arial" w:cs="Arial"/>
          <w:sz w:val="20"/>
          <w:szCs w:val="20"/>
          <w:lang w:val="sr-Cyrl-CS"/>
        </w:rPr>
        <w:t>'' из Жабљака.</w:t>
      </w:r>
    </w:p>
    <w:p>
      <w:pPr>
        <w:pStyle w:val="4"/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>
      <w:pPr>
        <w:pStyle w:val="4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ОБРАЂИВАЧ</w:t>
      </w:r>
      <w:r>
        <w:rPr>
          <w:rFonts w:ascii="Arial" w:hAnsi="Arial" w:cs="Arial"/>
          <w:b/>
          <w:sz w:val="20"/>
          <w:szCs w:val="20"/>
          <w:lang w:val="sr-Latn-CS"/>
        </w:rPr>
        <w:t>:</w:t>
      </w:r>
    </w:p>
    <w:p>
      <w:pPr>
        <w:pStyle w:val="4"/>
        <w:rPr>
          <w:rFonts w:ascii="Arial" w:hAnsi="Arial" w:cs="Arial"/>
          <w:b/>
          <w:sz w:val="20"/>
          <w:szCs w:val="20"/>
          <w:lang w:val="sr-Latn-CS"/>
        </w:rPr>
      </w:pPr>
    </w:p>
    <w:p>
      <w:pPr>
        <w:pStyle w:val="4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Секретаријат за уређење простора,</w:t>
      </w:r>
    </w:p>
    <w:p>
      <w:pPr>
        <w:pStyle w:val="4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заштиту животне средине и комунално стамбене послове</w:t>
      </w:r>
    </w:p>
    <w:p>
      <w:pPr>
        <w:pStyle w:val="4"/>
        <w:jc w:val="center"/>
        <w:rPr>
          <w:rFonts w:ascii="Arial" w:hAnsi="Arial" w:cs="Arial"/>
          <w:sz w:val="20"/>
          <w:szCs w:val="20"/>
          <w:lang w:val="sr-Latn-CS"/>
        </w:rPr>
      </w:pPr>
    </w:p>
    <w:p>
      <w:pPr>
        <w:pStyle w:val="4"/>
        <w:jc w:val="center"/>
        <w:rPr>
          <w:rFonts w:ascii="Arial" w:hAnsi="Arial" w:cs="Arial"/>
          <w:sz w:val="20"/>
          <w:szCs w:val="20"/>
          <w:lang w:val="sr-Latn-CS"/>
        </w:rPr>
      </w:pPr>
    </w:p>
    <w:p>
      <w:pPr>
        <w:pStyle w:val="4"/>
        <w:jc w:val="both"/>
        <w:rPr>
          <w:rFonts w:ascii="Arial" w:hAnsi="Arial" w:cs="Arial"/>
          <w:sz w:val="20"/>
          <w:szCs w:val="20"/>
          <w:lang w:val="sr-Latn-CS"/>
        </w:rPr>
      </w:pPr>
    </w:p>
    <w:p>
      <w:pPr>
        <w:pStyle w:val="4"/>
        <w:jc w:val="both"/>
        <w:rPr>
          <w:rFonts w:ascii="Arial" w:hAnsi="Arial" w:cs="Arial"/>
          <w:sz w:val="20"/>
          <w:szCs w:val="20"/>
          <w:lang w:val="sr-Latn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both"/>
        <w:rPr>
          <w:rFonts w:ascii="Arial" w:hAnsi="Arial" w:cs="Arial"/>
          <w:lang w:val="sr-Latn-CS"/>
        </w:rPr>
      </w:pPr>
    </w:p>
    <w:p>
      <w:pPr>
        <w:pStyle w:val="4"/>
        <w:jc w:val="both"/>
        <w:rPr>
          <w:rFonts w:ascii="Arial" w:hAnsi="Arial" w:cs="Arial"/>
        </w:rPr>
      </w:pPr>
    </w:p>
    <w:p>
      <w:pPr>
        <w:pStyle w:val="4"/>
        <w:jc w:val="both"/>
        <w:rPr>
          <w:rFonts w:ascii="Arial" w:hAnsi="Arial" w:cs="Arial"/>
        </w:rPr>
      </w:pPr>
    </w:p>
    <w:p>
      <w:pPr>
        <w:pStyle w:val="4"/>
        <w:jc w:val="both"/>
        <w:rPr>
          <w:rFonts w:ascii="Arial" w:hAnsi="Arial" w:cs="Arial"/>
        </w:rPr>
      </w:pPr>
    </w:p>
    <w:p>
      <w:pPr>
        <w:pStyle w:val="4"/>
        <w:jc w:val="both"/>
        <w:rPr>
          <w:rFonts w:ascii="Arial" w:hAnsi="Arial" w:cs="Arial"/>
        </w:rPr>
      </w:pPr>
    </w:p>
    <w:p>
      <w:pPr>
        <w:pStyle w:val="4"/>
        <w:jc w:val="both"/>
        <w:rPr>
          <w:rFonts w:ascii="Arial" w:hAnsi="Arial" w:cs="Arial"/>
        </w:rPr>
      </w:pPr>
    </w:p>
    <w:p/>
    <w:p/>
    <w:p/>
    <w:p/>
    <w:sectPr>
      <w:pgSz w:w="12240" w:h="15840"/>
      <w:pgMar w:top="990" w:right="900" w:bottom="1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Rounded MT Bold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Rounded MT Bold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Arial Rounded MT Bold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Rounded MT Bold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DE4"/>
    <w:multiLevelType w:val="multilevel"/>
    <w:tmpl w:val="1CC84DE4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7400D"/>
    <w:rsid w:val="000543D4"/>
    <w:rsid w:val="000C6FA7"/>
    <w:rsid w:val="00164B12"/>
    <w:rsid w:val="001A300B"/>
    <w:rsid w:val="002656DB"/>
    <w:rsid w:val="002C7C6E"/>
    <w:rsid w:val="00333704"/>
    <w:rsid w:val="00333DE2"/>
    <w:rsid w:val="0037400D"/>
    <w:rsid w:val="003B4597"/>
    <w:rsid w:val="003D3333"/>
    <w:rsid w:val="003E575A"/>
    <w:rsid w:val="00420852"/>
    <w:rsid w:val="0044193A"/>
    <w:rsid w:val="004932B0"/>
    <w:rsid w:val="00531892"/>
    <w:rsid w:val="00622990"/>
    <w:rsid w:val="006609B9"/>
    <w:rsid w:val="006C4A2F"/>
    <w:rsid w:val="00745F98"/>
    <w:rsid w:val="00891EAB"/>
    <w:rsid w:val="008A4357"/>
    <w:rsid w:val="0095688E"/>
    <w:rsid w:val="009F53E6"/>
    <w:rsid w:val="00A24B04"/>
    <w:rsid w:val="00A517B5"/>
    <w:rsid w:val="00A67F25"/>
    <w:rsid w:val="00A70B4E"/>
    <w:rsid w:val="00B41E4E"/>
    <w:rsid w:val="00BB4A48"/>
    <w:rsid w:val="00C77198"/>
    <w:rsid w:val="00DC3575"/>
    <w:rsid w:val="00E176E3"/>
    <w:rsid w:val="00E44256"/>
    <w:rsid w:val="00E539DE"/>
    <w:rsid w:val="00F7249C"/>
    <w:rsid w:val="00FB1E04"/>
    <w:rsid w:val="00FF34E1"/>
    <w:rsid w:val="218F3D1E"/>
    <w:rsid w:val="5C6A7C32"/>
    <w:rsid w:val="681949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718</Words>
  <Characters>4094</Characters>
  <Lines>34</Lines>
  <Paragraphs>9</Paragraphs>
  <ScaleCrop>false</ScaleCrop>
  <LinksUpToDate>false</LinksUpToDate>
  <CharactersWithSpaces>4803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2017-10-10T05:57:00Z</dcterms:created>
  <dc:creator>Mikan</dc:creator>
  <cp:lastModifiedBy>VESELIN</cp:lastModifiedBy>
  <cp:lastPrinted>2017-06-27T09:44:00Z</cp:lastPrinted>
  <dcterms:modified xsi:type="dcterms:W3CDTF">2017-10-30T06:40:43Z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